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EEF1F4"/>
        </w:rPr>
        <w:t>WB检测中，一般要求内参是越齐越好，但是如果目的蛋白趋势已经非常明显的情况下，可以无需将内参调至非常齐，比如目的蛋白为低低高，内参为高高低；此外内参不是越浓越好，内参越浓，样本之间差异可能就不明显，容易被掩盖，在很多高分杂志中会要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EEF1F4"/>
        </w:rPr>
        <w:t>求内参亮度调淡一些，这样内参的表达量更加直观明显。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08E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140</Characters>
  <Lines>0</Lines>
  <Paragraphs>0</Paragraphs>
  <TotalTime>0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2023-03-14T04:10:15Z</dcterms:created>
  <dc:creator>Administrator</dc:creator>
  <cp:lastModifiedBy>Administrator</cp:lastModifiedBy>
  <dcterms:modified xsi:type="dcterms:W3CDTF">2023-03-14T04:10:25Z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D5E23F5E95B94D58A4AAED236BCDDB0C</vt:lpwstr>
  </property>
</Properties>
</file>